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C996D" w14:textId="5357C062" w:rsidR="00BC34D4" w:rsidRPr="0039360F" w:rsidRDefault="006A1991" w:rsidP="00BC34D4">
      <w:pPr>
        <w:jc w:val="center"/>
        <w:rPr>
          <w:b/>
          <w:bCs/>
          <w:sz w:val="32"/>
          <w:szCs w:val="32"/>
        </w:rPr>
      </w:pPr>
      <w:r w:rsidRPr="0039360F">
        <w:rPr>
          <w:b/>
          <w:bCs/>
          <w:sz w:val="32"/>
          <w:szCs w:val="32"/>
        </w:rPr>
        <w:t>Transitional Aged Youth Services</w:t>
      </w:r>
      <w:r w:rsidR="007879F6" w:rsidRPr="0039360F">
        <w:rPr>
          <w:b/>
          <w:bCs/>
          <w:sz w:val="32"/>
          <w:szCs w:val="32"/>
        </w:rPr>
        <w:t xml:space="preserve"> (TAY)</w:t>
      </w:r>
    </w:p>
    <w:p w14:paraId="4E6EC0BA" w14:textId="2CCACEBB" w:rsidR="00BC34D4" w:rsidRPr="0039360F" w:rsidRDefault="00760947">
      <w:pPr>
        <w:rPr>
          <w:b/>
          <w:bCs/>
          <w:sz w:val="32"/>
          <w:szCs w:val="32"/>
        </w:rPr>
      </w:pPr>
      <w:hyperlink r:id="rId5" w:history="1">
        <w:r w:rsidR="006A1991" w:rsidRPr="0039360F">
          <w:rPr>
            <w:rStyle w:val="Hyperlink"/>
            <w:b/>
            <w:bCs/>
            <w:sz w:val="32"/>
            <w:szCs w:val="32"/>
          </w:rPr>
          <w:t>Edgewood</w:t>
        </w:r>
      </w:hyperlink>
      <w:r w:rsidR="00BC34D4" w:rsidRPr="0039360F">
        <w:rPr>
          <w:rStyle w:val="Hyperlink"/>
          <w:b/>
          <w:bCs/>
          <w:sz w:val="32"/>
          <w:szCs w:val="32"/>
        </w:rPr>
        <w:t xml:space="preserve"> </w:t>
      </w:r>
    </w:p>
    <w:p w14:paraId="1E5A3413" w14:textId="4403F241" w:rsidR="00BC34D4" w:rsidRPr="0039360F" w:rsidRDefault="00BC34D4">
      <w:pPr>
        <w:rPr>
          <w:sz w:val="28"/>
          <w:szCs w:val="28"/>
        </w:rPr>
      </w:pPr>
      <w:r w:rsidRPr="0039360F">
        <w:rPr>
          <w:sz w:val="28"/>
          <w:szCs w:val="28"/>
        </w:rPr>
        <w:t xml:space="preserve">Edgewood’s services for Transition Age Youth (TAY) program addresses the needs of </w:t>
      </w:r>
      <w:proofErr w:type="gramStart"/>
      <w:r w:rsidRPr="0039360F">
        <w:rPr>
          <w:sz w:val="28"/>
          <w:szCs w:val="28"/>
        </w:rPr>
        <w:t>high risk</w:t>
      </w:r>
      <w:proofErr w:type="gramEnd"/>
      <w:r w:rsidRPr="0039360F">
        <w:rPr>
          <w:sz w:val="28"/>
          <w:szCs w:val="28"/>
        </w:rPr>
        <w:t xml:space="preserve"> youth and their families in San Mateo. The program is dedicated to youth ages 17-25 with severe mental health needs who are transitioning into adulthood</w:t>
      </w:r>
    </w:p>
    <w:p w14:paraId="2B8FF2CD" w14:textId="678980AF" w:rsidR="007879F6" w:rsidRPr="0039360F" w:rsidRDefault="00F9356D" w:rsidP="00BC34D4">
      <w:pPr>
        <w:rPr>
          <w:sz w:val="28"/>
          <w:szCs w:val="28"/>
        </w:rPr>
      </w:pPr>
      <w:r w:rsidRPr="0039360F">
        <w:rPr>
          <w:sz w:val="28"/>
          <w:szCs w:val="28"/>
        </w:rPr>
        <w:t>*Please note that Edgewood does not have a formal housing program in the San Mateo Region</w:t>
      </w:r>
    </w:p>
    <w:p w14:paraId="2B4F75B4" w14:textId="50A40BB8" w:rsidR="00BC34D4" w:rsidRPr="0039360F" w:rsidRDefault="007879F6" w:rsidP="00BC34D4">
      <w:pPr>
        <w:rPr>
          <w:sz w:val="28"/>
          <w:szCs w:val="28"/>
        </w:rPr>
      </w:pPr>
      <w:r w:rsidRPr="0039360F">
        <w:rPr>
          <w:sz w:val="28"/>
          <w:szCs w:val="28"/>
        </w:rPr>
        <w:t>TAY Services offered by Edgewood:</w:t>
      </w:r>
    </w:p>
    <w:p w14:paraId="2A423BF0" w14:textId="6D0E112E" w:rsidR="00BC34D4" w:rsidRPr="0039360F" w:rsidRDefault="00BC34D4" w:rsidP="00BC34D4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39360F">
        <w:rPr>
          <w:sz w:val="28"/>
          <w:szCs w:val="28"/>
        </w:rPr>
        <w:t>Age-specific groups and activities</w:t>
      </w:r>
    </w:p>
    <w:p w14:paraId="457F087B" w14:textId="1B7FA684" w:rsidR="00BC34D4" w:rsidRPr="0039360F" w:rsidRDefault="00760947" w:rsidP="00BC34D4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3F8462CD" wp14:editId="0CDBA20B">
            <wp:simplePos x="0" y="0"/>
            <wp:positionH relativeFrom="column">
              <wp:posOffset>3267075</wp:posOffset>
            </wp:positionH>
            <wp:positionV relativeFrom="paragraph">
              <wp:posOffset>6985</wp:posOffset>
            </wp:positionV>
            <wp:extent cx="2771775" cy="1038225"/>
            <wp:effectExtent l="0" t="0" r="9525" b="9525"/>
            <wp:wrapNone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1775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C34D4" w:rsidRPr="0039360F">
        <w:rPr>
          <w:sz w:val="28"/>
          <w:szCs w:val="28"/>
        </w:rPr>
        <w:t>Case Coordination</w:t>
      </w:r>
    </w:p>
    <w:p w14:paraId="7FAD91AC" w14:textId="5DCA8744" w:rsidR="00BC34D4" w:rsidRPr="0039360F" w:rsidRDefault="00BC34D4" w:rsidP="00BC34D4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39360F">
        <w:rPr>
          <w:sz w:val="28"/>
          <w:szCs w:val="28"/>
        </w:rPr>
        <w:t>Crisis Response</w:t>
      </w:r>
    </w:p>
    <w:p w14:paraId="3DB43337" w14:textId="1FB6D04D" w:rsidR="00BC34D4" w:rsidRPr="0039360F" w:rsidRDefault="00BC34D4" w:rsidP="00BC34D4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39360F">
        <w:rPr>
          <w:sz w:val="28"/>
          <w:szCs w:val="28"/>
        </w:rPr>
        <w:t>Educational/Vocational Support</w:t>
      </w:r>
    </w:p>
    <w:p w14:paraId="16AC5D0A" w14:textId="6114C935" w:rsidR="00BC34D4" w:rsidRPr="0039360F" w:rsidRDefault="00BC34D4" w:rsidP="00BC34D4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39360F">
        <w:rPr>
          <w:sz w:val="28"/>
          <w:szCs w:val="28"/>
        </w:rPr>
        <w:t>Financial Support</w:t>
      </w:r>
    </w:p>
    <w:p w14:paraId="7577D82F" w14:textId="3AA9B488" w:rsidR="00BC34D4" w:rsidRPr="0039360F" w:rsidRDefault="00BC34D4" w:rsidP="00BC34D4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39360F">
        <w:rPr>
          <w:sz w:val="28"/>
          <w:szCs w:val="28"/>
        </w:rPr>
        <w:t>Linkage to Resources</w:t>
      </w:r>
    </w:p>
    <w:p w14:paraId="4F117D62" w14:textId="4DCD0120" w:rsidR="00BC34D4" w:rsidRPr="0039360F" w:rsidRDefault="00BC34D4" w:rsidP="00BC34D4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39360F">
        <w:rPr>
          <w:sz w:val="28"/>
          <w:szCs w:val="28"/>
        </w:rPr>
        <w:t>Medication Evaluation and Monitoring</w:t>
      </w:r>
    </w:p>
    <w:p w14:paraId="17F61343" w14:textId="583C635B" w:rsidR="00BC34D4" w:rsidRPr="0039360F" w:rsidRDefault="00BC34D4" w:rsidP="00BC34D4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39360F">
        <w:rPr>
          <w:sz w:val="28"/>
          <w:szCs w:val="28"/>
        </w:rPr>
        <w:t>Peer to Peer Support</w:t>
      </w:r>
    </w:p>
    <w:p w14:paraId="1FBC70FA" w14:textId="3A2DBC5F" w:rsidR="00BC34D4" w:rsidRPr="0039360F" w:rsidRDefault="00BC34D4" w:rsidP="00BC34D4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39360F">
        <w:rPr>
          <w:sz w:val="28"/>
          <w:szCs w:val="28"/>
        </w:rPr>
        <w:t>Therapeutic Behavioral Services (TBS)</w:t>
      </w:r>
    </w:p>
    <w:p w14:paraId="2F7F992A" w14:textId="2B6F16C9" w:rsidR="00BC34D4" w:rsidRPr="0039360F" w:rsidRDefault="00BC34D4" w:rsidP="00075C9B">
      <w:pPr>
        <w:rPr>
          <w:sz w:val="28"/>
          <w:szCs w:val="28"/>
        </w:rPr>
      </w:pPr>
    </w:p>
    <w:p w14:paraId="2DDAD151" w14:textId="1ECA96CE" w:rsidR="00BC34D4" w:rsidRPr="0039360F" w:rsidRDefault="00760947">
      <w:pPr>
        <w:rPr>
          <w:sz w:val="28"/>
          <w:szCs w:val="28"/>
        </w:rPr>
      </w:pPr>
      <w:hyperlink r:id="rId7" w:history="1">
        <w:r w:rsidR="00BC34D4" w:rsidRPr="0039360F">
          <w:rPr>
            <w:rStyle w:val="Hyperlink"/>
            <w:sz w:val="28"/>
            <w:szCs w:val="28"/>
          </w:rPr>
          <w:t>Turning Point (</w:t>
        </w:r>
        <w:proofErr w:type="gramStart"/>
        <w:r w:rsidR="00BC34D4" w:rsidRPr="0039360F">
          <w:rPr>
            <w:rStyle w:val="Hyperlink"/>
            <w:sz w:val="28"/>
            <w:szCs w:val="28"/>
          </w:rPr>
          <w:t>Full Service</w:t>
        </w:r>
        <w:proofErr w:type="gramEnd"/>
        <w:r w:rsidR="00BC34D4" w:rsidRPr="0039360F">
          <w:rPr>
            <w:rStyle w:val="Hyperlink"/>
            <w:sz w:val="28"/>
            <w:szCs w:val="28"/>
          </w:rPr>
          <w:t xml:space="preserve"> Partnerships)</w:t>
        </w:r>
      </w:hyperlink>
    </w:p>
    <w:p w14:paraId="1028F71E" w14:textId="694BF8F4" w:rsidR="002B714E" w:rsidRPr="0039360F" w:rsidRDefault="002B714E">
      <w:pPr>
        <w:rPr>
          <w:sz w:val="28"/>
          <w:szCs w:val="28"/>
        </w:rPr>
      </w:pPr>
      <w:r w:rsidRPr="0039360F">
        <w:rPr>
          <w:sz w:val="28"/>
          <w:szCs w:val="28"/>
        </w:rPr>
        <w:t>Works with youth and their families who are in, exiting, or at risk of entering various community systems including</w:t>
      </w:r>
      <w:r w:rsidR="007879F6" w:rsidRPr="0039360F">
        <w:rPr>
          <w:sz w:val="28"/>
          <w:szCs w:val="28"/>
        </w:rPr>
        <w:t xml:space="preserve"> juvenile justice, special education, county mental health, residential group homes, foster care, psychiatric emergency care</w:t>
      </w:r>
    </w:p>
    <w:p w14:paraId="229A99B6" w14:textId="281D17C0" w:rsidR="00F02D66" w:rsidRPr="0039360F" w:rsidRDefault="00F02D66">
      <w:pPr>
        <w:rPr>
          <w:sz w:val="28"/>
          <w:szCs w:val="28"/>
        </w:rPr>
      </w:pPr>
      <w:r w:rsidRPr="0039360F">
        <w:rPr>
          <w:sz w:val="28"/>
          <w:szCs w:val="28"/>
        </w:rPr>
        <w:t xml:space="preserve">*Call </w:t>
      </w:r>
      <w:r w:rsidR="000203E3" w:rsidRPr="0039360F">
        <w:rPr>
          <w:sz w:val="28"/>
          <w:szCs w:val="28"/>
        </w:rPr>
        <w:t>650-832-6900 for more information</w:t>
      </w:r>
    </w:p>
    <w:p w14:paraId="0F2983C2" w14:textId="427D0AC7" w:rsidR="007879F6" w:rsidRPr="0039360F" w:rsidRDefault="007879F6">
      <w:pPr>
        <w:rPr>
          <w:sz w:val="28"/>
          <w:szCs w:val="28"/>
        </w:rPr>
      </w:pPr>
      <w:r w:rsidRPr="0039360F">
        <w:rPr>
          <w:sz w:val="28"/>
          <w:szCs w:val="28"/>
        </w:rPr>
        <w:t>Services offered:</w:t>
      </w:r>
    </w:p>
    <w:p w14:paraId="52133E2C" w14:textId="0D5044C6" w:rsidR="007879F6" w:rsidRPr="0039360F" w:rsidRDefault="007879F6" w:rsidP="007879F6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39360F">
        <w:rPr>
          <w:sz w:val="28"/>
          <w:szCs w:val="28"/>
        </w:rPr>
        <w:t>24/7 Crisis Support</w:t>
      </w:r>
    </w:p>
    <w:p w14:paraId="4BB712D3" w14:textId="264AB116" w:rsidR="007879F6" w:rsidRPr="0039360F" w:rsidRDefault="007879F6" w:rsidP="007879F6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39360F">
        <w:rPr>
          <w:sz w:val="28"/>
          <w:szCs w:val="28"/>
        </w:rPr>
        <w:t>Case management</w:t>
      </w:r>
    </w:p>
    <w:p w14:paraId="1A7863C6" w14:textId="3C2717D4" w:rsidR="007879F6" w:rsidRPr="0039360F" w:rsidRDefault="007879F6" w:rsidP="007879F6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39360F">
        <w:rPr>
          <w:sz w:val="28"/>
          <w:szCs w:val="28"/>
        </w:rPr>
        <w:t>Individual and family therapy</w:t>
      </w:r>
    </w:p>
    <w:p w14:paraId="42C9F43C" w14:textId="2A2C8AF7" w:rsidR="0000038F" w:rsidRPr="0039360F" w:rsidRDefault="0000038F" w:rsidP="007879F6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39360F">
        <w:rPr>
          <w:sz w:val="28"/>
          <w:szCs w:val="28"/>
        </w:rPr>
        <w:t>Psychiatric assessments and medication support</w:t>
      </w:r>
    </w:p>
    <w:p w14:paraId="09DBFBAD" w14:textId="2876C5FE" w:rsidR="0000038F" w:rsidRPr="0039360F" w:rsidRDefault="0000038F" w:rsidP="007879F6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39360F">
        <w:rPr>
          <w:sz w:val="28"/>
          <w:szCs w:val="28"/>
        </w:rPr>
        <w:lastRenderedPageBreak/>
        <w:t>Peer support for youth and parents</w:t>
      </w:r>
    </w:p>
    <w:p w14:paraId="6F9664DB" w14:textId="5C1F3820" w:rsidR="0000038F" w:rsidRPr="0039360F" w:rsidRDefault="0000038F" w:rsidP="007879F6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39360F">
        <w:rPr>
          <w:sz w:val="28"/>
          <w:szCs w:val="28"/>
        </w:rPr>
        <w:t>Therapeutic after school programming</w:t>
      </w:r>
    </w:p>
    <w:p w14:paraId="19B491E2" w14:textId="663CA06A" w:rsidR="0000038F" w:rsidRPr="0039360F" w:rsidRDefault="0000038F" w:rsidP="007879F6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39360F">
        <w:rPr>
          <w:sz w:val="28"/>
          <w:szCs w:val="28"/>
        </w:rPr>
        <w:t>Housing support</w:t>
      </w:r>
    </w:p>
    <w:p w14:paraId="6F5E06B2" w14:textId="504C87B2" w:rsidR="00B43F72" w:rsidRPr="0039360F" w:rsidRDefault="0000038F" w:rsidP="00B43F72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39360F">
        <w:rPr>
          <w:sz w:val="28"/>
          <w:szCs w:val="28"/>
        </w:rPr>
        <w:t>Independent living skills development</w:t>
      </w:r>
    </w:p>
    <w:p w14:paraId="2E163E4B" w14:textId="77777777" w:rsidR="00230B4E" w:rsidRPr="0039360F" w:rsidRDefault="00230B4E" w:rsidP="00B43F72">
      <w:pPr>
        <w:rPr>
          <w:sz w:val="28"/>
          <w:szCs w:val="28"/>
          <w:u w:val="single"/>
        </w:rPr>
      </w:pPr>
    </w:p>
    <w:p w14:paraId="316A46E2" w14:textId="626DEC7C" w:rsidR="00B43F72" w:rsidRPr="0039360F" w:rsidRDefault="00B43F72" w:rsidP="00B43F72">
      <w:pPr>
        <w:rPr>
          <w:sz w:val="28"/>
          <w:szCs w:val="28"/>
          <w:u w:val="single"/>
        </w:rPr>
      </w:pPr>
      <w:r w:rsidRPr="0039360F">
        <w:rPr>
          <w:sz w:val="28"/>
          <w:szCs w:val="28"/>
          <w:u w:val="single"/>
        </w:rPr>
        <w:t>Other Community Based Services:</w:t>
      </w:r>
    </w:p>
    <w:p w14:paraId="44AD68AB" w14:textId="30923509" w:rsidR="00B43F72" w:rsidRPr="0039360F" w:rsidRDefault="00B43F72" w:rsidP="00B43F72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39360F">
        <w:rPr>
          <w:sz w:val="28"/>
          <w:szCs w:val="28"/>
        </w:rPr>
        <w:t>Transitional Housing Plus Program</w:t>
      </w:r>
    </w:p>
    <w:p w14:paraId="006F3095" w14:textId="73D81BBF" w:rsidR="00BC34D4" w:rsidRPr="0039360F" w:rsidRDefault="00BC34D4" w:rsidP="00B43F72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39360F">
        <w:rPr>
          <w:sz w:val="28"/>
          <w:szCs w:val="28"/>
        </w:rPr>
        <w:t>Wraparound Services</w:t>
      </w:r>
    </w:p>
    <w:p w14:paraId="4414354A" w14:textId="6BC6411C" w:rsidR="00BC34D4" w:rsidRPr="0039360F" w:rsidRDefault="00BC34D4" w:rsidP="00B43F72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39360F">
        <w:rPr>
          <w:sz w:val="28"/>
          <w:szCs w:val="28"/>
        </w:rPr>
        <w:t>Therapeutic Behavioral Services</w:t>
      </w:r>
    </w:p>
    <w:sectPr w:rsidR="00BC34D4" w:rsidRPr="003936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443C73"/>
    <w:multiLevelType w:val="hybridMultilevel"/>
    <w:tmpl w:val="0A665C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014FA4"/>
    <w:multiLevelType w:val="hybridMultilevel"/>
    <w:tmpl w:val="FF88B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6051780">
    <w:abstractNumId w:val="1"/>
  </w:num>
  <w:num w:numId="2" w16cid:durableId="1315526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991"/>
    <w:rsid w:val="0000038F"/>
    <w:rsid w:val="000203E3"/>
    <w:rsid w:val="00075C9B"/>
    <w:rsid w:val="00230B4E"/>
    <w:rsid w:val="002B714E"/>
    <w:rsid w:val="0039360F"/>
    <w:rsid w:val="006A1991"/>
    <w:rsid w:val="00760947"/>
    <w:rsid w:val="007879F6"/>
    <w:rsid w:val="00B03D3C"/>
    <w:rsid w:val="00B43F72"/>
    <w:rsid w:val="00B81A78"/>
    <w:rsid w:val="00BC12B0"/>
    <w:rsid w:val="00BC34D4"/>
    <w:rsid w:val="00C067CE"/>
    <w:rsid w:val="00F02D66"/>
    <w:rsid w:val="00F93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7AAFF"/>
  <w15:chartTrackingRefBased/>
  <w15:docId w15:val="{72DE22CF-1A7B-4456-B947-BB550AAAD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C12B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12B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C34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dgewood.org/full-service-partnership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hyperlink" Target="https://edgewood.org/tay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217</Words>
  <Characters>1240</Characters>
  <Application>Microsoft Office Word</Application>
  <DocSecurity>0</DocSecurity>
  <Lines>10</Lines>
  <Paragraphs>2</Paragraphs>
  <ScaleCrop>false</ScaleCrop>
  <Company>County of San Mateo</Company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Liebman</dc:creator>
  <cp:keywords/>
  <dc:description/>
  <cp:lastModifiedBy>Rachel Liebman</cp:lastModifiedBy>
  <cp:revision>15</cp:revision>
  <dcterms:created xsi:type="dcterms:W3CDTF">2023-06-21T23:00:00Z</dcterms:created>
  <dcterms:modified xsi:type="dcterms:W3CDTF">2023-09-27T20:05:00Z</dcterms:modified>
</cp:coreProperties>
</file>